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7"/>
        <w:shd w:val="clear" w:color="auto" w:fill="auto"/>
      </w:pPr>
      <w:r>
        <w:t xml:space="preserve">1. Общая информация</w:t>
      </w:r>
      <w:r/>
    </w:p>
    <w:tbl>
      <w:tblPr>
        <w:tblStyle w:val="838"/>
        <w:tblW w:w="9776" w:type="dxa"/>
        <w:tblLook w:val="04A0" w:firstRow="1" w:lastRow="0" w:firstColumn="1" w:lastColumn="0" w:noHBand="0" w:noVBand="1"/>
      </w:tblPr>
      <w:tblGrid>
        <w:gridCol w:w="562"/>
        <w:gridCol w:w="2268"/>
        <w:gridCol w:w="6946"/>
      </w:tblGrid>
      <w:tr>
        <w:tblPrEx/>
        <w:trPr/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0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946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0"/>
              </w:rPr>
              <w:t xml:space="preserve">Информация по лоту</w:t>
            </w:r>
            <w:r/>
          </w:p>
        </w:tc>
      </w:tr>
      <w:tr>
        <w:tblPrEx/>
        <w:trPr>
          <w:trHeight w:val="1336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 xml:space="preserve">1.1.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  <w:tc>
          <w:tcPr>
            <w:tcW w:w="6946" w:type="dxa"/>
            <w:textDirection w:val="lrTb"/>
            <w:noWrap w:val="false"/>
          </w:tcPr>
          <w:p>
            <w:pPr>
              <w:spacing w:before="200" w:after="0" w:line="57" w:lineRule="atLeast"/>
              <w:rPr>
                <w:bCs/>
                <w:i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КПД2 33.20.60.000 Выполнение строительно-монтажных работ по установке резервных трубопроводов азота и водорода от электролизной установки до турб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  <w:shd w:val="clear" w:color="ffffff" w:themeColor="background1" w:fill="ffffff" w:themeFill="background1"/>
              </w:rPr>
              <w:t xml:space="preserve">огене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  <w:shd w:val="clear" w:color="ffffff" w:themeColor="background1" w:fill="ffffff" w:themeFill="background1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  <w:shd w:val="clear" w:color="ffffff" w:themeColor="background1" w:fill="ffffff" w:themeFill="background1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торов (ТГ-1,2,3) с модернизацией газовых постов генераторов (ТГ-1,2,3) на Нерюнгринской ГРЭС в пос. Сере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бряный бор респ. Саха (Якутия) в рамках инвестиционного проекта J_505-НГ-83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</w:r>
            <w:r>
              <w:rPr>
                <w:bCs/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 xml:space="preserve">1.2.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 xml:space="preserve">Номер лота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  <w:tc>
          <w:tcPr>
            <w:tcW w:w="6946" w:type="dxa"/>
            <w:vAlign w:val="center"/>
            <w:textDirection w:val="lrTb"/>
            <w:noWrap w:val="false"/>
          </w:tcPr>
          <w:p>
            <w:pPr>
              <w:ind w:left="-108" w:right="-108"/>
              <w:jc w:val="left"/>
              <w:spacing w:before="60" w:after="60" w:line="240" w:lineRule="auto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 Лот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22123004-ТПИР ОБСЛ-2025-ДГК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9"/>
        </w:trPr>
        <w:tc>
          <w:tcPr>
            <w:shd w:val="clear" w:color="auto" w:fill="ffffff"/>
            <w:tcBorders>
              <w:top w:val="single" w:color="auto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center"/>
              <w:spacing w:after="0" w:line="244" w:lineRule="exact"/>
              <w:shd w:val="clear" w:color="auto" w:fill="auto"/>
              <w:rPr>
                <w:bCs w:val="0"/>
                <w:i w:val="0"/>
              </w:rPr>
            </w:pPr>
            <w:r>
              <w:rPr>
                <w:rStyle w:val="840"/>
                <w:i w:val="0"/>
                <w:iCs w:val="0"/>
              </w:rPr>
              <w:t xml:space="preserve">1.3.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left"/>
              <w:spacing w:after="0" w:line="244" w:lineRule="exact"/>
              <w:shd w:val="clear" w:color="auto" w:fill="auto"/>
              <w:rPr>
                <w:bCs w:val="0"/>
                <w:i w:val="0"/>
              </w:rPr>
            </w:pPr>
            <w:r>
              <w:rPr>
                <w:rStyle w:val="840"/>
                <w:i w:val="0"/>
                <w:iCs w:val="0"/>
              </w:rPr>
              <w:t xml:space="preserve">НМЦ лота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tcW w:w="694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7 317 627,00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 рублей без НДС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</w:tbl>
    <w:p>
      <w:pPr>
        <w:rPr>
          <w:bCs w:val="0"/>
          <w:i w:val="0"/>
        </w:rPr>
      </w:pPr>
      <w:r>
        <w:rPr>
          <w:i w:val="0"/>
          <w:iCs w:val="0"/>
        </w:rPr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rPr>
          <w:rFonts w:ascii="Times New Roman" w:hAnsi="Times New Roman" w:cs="Times New Roman"/>
          <w:b/>
          <w:i w:val="0"/>
          <w:iCs w:val="0"/>
          <w:sz w:val="26"/>
          <w:szCs w:val="26"/>
        </w:rPr>
      </w:pPr>
      <w:r>
        <w:rPr>
          <w:rFonts w:ascii="Times New Roman" w:hAnsi="Times New Roman" w:cs="Times New Roman"/>
          <w:b/>
          <w:i w:val="0"/>
          <w:iCs w:val="0"/>
          <w:sz w:val="26"/>
          <w:szCs w:val="26"/>
        </w:rPr>
        <w:t xml:space="preserve">2. </w:t>
      </w:r>
      <w:r>
        <w:rPr>
          <w:rFonts w:ascii="Times New Roman" w:hAnsi="Times New Roman" w:cs="Times New Roman"/>
          <w:b/>
          <w:i w:val="0"/>
          <w:iCs w:val="0"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i w:val="0"/>
          <w:iCs w:val="0"/>
          <w:sz w:val="26"/>
          <w:szCs w:val="26"/>
        </w:rPr>
      </w:r>
      <w:r>
        <w:rPr>
          <w:rFonts w:ascii="Times New Roman" w:hAnsi="Times New Roman" w:cs="Times New Roman"/>
          <w:b/>
          <w:i w:val="0"/>
          <w:iCs w:val="0"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i w:val="0"/>
          <w:iCs w:val="0"/>
          <w:lang w:eastAsia="ru-RU" w:bidi="ru-RU"/>
        </w:rPr>
        <w:t xml:space="preserve">Ресурсно-индексный метод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</w:r>
    </w:p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i w:val="0"/>
          <w:iCs w:val="0"/>
          <w:lang w:eastAsia="ru-RU" w:bidi="ru-RU"/>
        </w:rPr>
        <w:t xml:space="preserve">Обоснование расчета НМЦ: </w:t>
      </w:r>
      <w:r>
        <w:rPr>
          <w:rFonts w:ascii="Times New Roman" w:hAnsi="Times New Roman" w:eastAsia="Times New Roman" w:cs="Times New Roman"/>
          <w:i w:val="0"/>
          <w:iCs w:val="0"/>
          <w:lang w:eastAsia="ru-RU" w:bidi="ru-RU"/>
        </w:rPr>
        <w:t xml:space="preserve">прилагаемый сводный сметный расчет (приложение №6 к Техническим требованиям)</w:t>
      </w:r>
      <w:r>
        <w:rPr>
          <w:rFonts w:ascii="Times New Roman" w:hAnsi="Times New Roman" w:eastAsia="Times New Roman" w:cs="Times New Roman"/>
          <w:i w:val="0"/>
          <w:iCs w:val="0"/>
          <w:lang w:eastAsia="ru-RU" w:bidi="ru-RU"/>
        </w:rPr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sectPr>
      <w:footnotePr/>
      <w:endnotePr/>
      <w:type w:val="nextPage"/>
      <w:pgSz w:w="11906" w:h="16838" w:orient="portrait"/>
      <w:pgMar w:top="851" w:right="851" w:bottom="851" w:left="130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 w:customStyle="1">
    <w:name w:val="Основной текст (14)_"/>
    <w:basedOn w:val="831"/>
    <w:link w:val="835"/>
    <w:rPr>
      <w:rFonts w:ascii="Times New Roman" w:hAnsi="Times New Roman" w:eastAsia="Times New Roman" w:cs="Times New Roman"/>
      <w:shd w:val="clear" w:color="auto" w:fill="ffffff"/>
    </w:rPr>
  </w:style>
  <w:style w:type="paragraph" w:styleId="835" w:customStyle="1">
    <w:name w:val="Основной текст (14)"/>
    <w:basedOn w:val="830"/>
    <w:link w:val="834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6" w:customStyle="1">
    <w:name w:val="Подпись к таблице (2)_"/>
    <w:basedOn w:val="831"/>
    <w:link w:val="837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7" w:customStyle="1">
    <w:name w:val="Подпись к таблице (2)"/>
    <w:basedOn w:val="830"/>
    <w:link w:val="836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8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9" w:customStyle="1">
    <w:name w:val="Основной текст (2)_"/>
    <w:basedOn w:val="831"/>
    <w:link w:val="841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0" w:customStyle="1">
    <w:name w:val="Основной текст (2) + 11 pt"/>
    <w:basedOn w:val="839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1" w:customStyle="1">
    <w:name w:val="Основной текст (2)"/>
    <w:basedOn w:val="830"/>
    <w:link w:val="839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42">
    <w:name w:val="No Spacing"/>
    <w:uiPriority w:val="1"/>
    <w:qFormat/>
    <w:pPr>
      <w:spacing w:after="0" w:line="240" w:lineRule="auto"/>
    </w:pPr>
  </w:style>
  <w:style w:type="paragraph" w:styleId="843">
    <w:name w:val="Balloon Text"/>
    <w:basedOn w:val="830"/>
    <w:link w:val="84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4" w:customStyle="1">
    <w:name w:val="Текст выноски Знак"/>
    <w:basedOn w:val="831"/>
    <w:link w:val="84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revision>13</cp:revision>
  <dcterms:created xsi:type="dcterms:W3CDTF">2022-12-29T01:26:00Z</dcterms:created>
  <dcterms:modified xsi:type="dcterms:W3CDTF">2024-11-05T06:12:23Z</dcterms:modified>
</cp:coreProperties>
</file>